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pStyle w:val="4"/>
        <w:keepNext w:val="0"/>
        <w:keepLines w:val="0"/>
        <w:pageBreakBefore w:val="0"/>
        <w:widowControl/>
        <w:kinsoku/>
        <w:wordWrap/>
        <w:overflowPunct/>
        <w:topLinePunct w:val="0"/>
        <w:autoSpaceDE/>
        <w:autoSpaceDN/>
        <w:bidi w:val="0"/>
        <w:adjustRightInd/>
        <w:snapToGrid/>
        <w:spacing w:before="0"/>
        <w:jc w:val="center"/>
        <w:textAlignment w:val="auto"/>
        <w:rPr>
          <w:rFonts w:hint="default" w:ascii="Times New Roman" w:hAnsi="Times New Roman" w:cs="Times New Roman"/>
          <w:b/>
          <w:bCs/>
          <w:color w:val="000000"/>
          <w:sz w:val="24"/>
          <w:szCs w:val="24"/>
        </w:rPr>
      </w:pPr>
      <w:bookmarkStart w:id="0" w:name="_c8nxramvj3h7" w:colFirst="0" w:colLast="0"/>
      <w:bookmarkEnd w:id="0"/>
      <w:r>
        <w:rPr>
          <w:rFonts w:hint="default" w:ascii="Times New Roman" w:hAnsi="Times New Roman" w:cs="Times New Roman"/>
          <w:b/>
          <w:bCs/>
          <w:color w:val="000000"/>
          <w:sz w:val="24"/>
          <w:szCs w:val="24"/>
          <w:rtl w:val="0"/>
        </w:rPr>
        <w:t>MEMORIU JURIDIC DE SINTEZĂ PRIVIND NECONSTITUȚIONALITATEA ȘI NECONFORMITATEA PROIECTULUI DE LEGE A PSIHOLOGULUI</w:t>
      </w:r>
    </w:p>
    <w:p w14:paraId="00000002">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cs="Times New Roman"/>
          <w:sz w:val="24"/>
          <w:szCs w:val="24"/>
        </w:rPr>
      </w:pPr>
    </w:p>
    <w:p w14:paraId="00000003">
      <w:pPr>
        <w:pStyle w:val="5"/>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b/>
          <w:bCs/>
          <w:color w:val="000000"/>
          <w:sz w:val="24"/>
          <w:szCs w:val="24"/>
        </w:rPr>
      </w:pPr>
      <w:bookmarkStart w:id="1" w:name="_s293oced32tc" w:colFirst="0" w:colLast="0"/>
      <w:r>
        <w:rPr>
          <w:rFonts w:hint="default" w:ascii="Times New Roman" w:hAnsi="Times New Roman" w:cs="Times New Roman"/>
          <w:b/>
          <w:bCs/>
          <w:color w:val="000000"/>
          <w:sz w:val="24"/>
          <w:szCs w:val="24"/>
          <w:rtl w:val="0"/>
        </w:rPr>
        <w:t>1. Lipsa legitimității și vicierea procedurii de consultare profesională</w:t>
      </w:r>
    </w:p>
    <w:p w14:paraId="00000004">
      <w:pPr>
        <w:pStyle w:val="5"/>
        <w:keepNext w:val="0"/>
        <w:keepLines w:val="0"/>
        <w:pageBreakBefore w:val="0"/>
        <w:widowControl/>
        <w:numPr>
          <w:ilvl w:val="0"/>
          <w:numId w:val="1"/>
        </w:numPr>
        <w:kinsoku/>
        <w:wordWrap/>
        <w:overflowPunct/>
        <w:topLinePunct w:val="0"/>
        <w:autoSpaceDE/>
        <w:autoSpaceDN/>
        <w:bidi w:val="0"/>
        <w:adjustRightInd/>
        <w:snapToGrid/>
        <w:spacing w:before="0" w:after="0"/>
        <w:ind w:left="720" w:hanging="360"/>
        <w:jc w:val="both"/>
        <w:textAlignment w:val="auto"/>
        <w:rPr>
          <w:rFonts w:hint="default" w:ascii="Times New Roman" w:hAnsi="Times New Roman" w:cs="Times New Roman"/>
          <w:b/>
          <w:bCs/>
          <w:color w:val="000000"/>
          <w:sz w:val="24"/>
          <w:szCs w:val="24"/>
        </w:rPr>
      </w:pPr>
      <w:r>
        <w:rPr>
          <w:rFonts w:hint="default" w:ascii="Times New Roman" w:hAnsi="Times New Roman" w:cs="Times New Roman"/>
          <w:b/>
          <w:bCs/>
          <w:color w:val="000000"/>
          <w:sz w:val="24"/>
          <w:szCs w:val="24"/>
          <w:rtl w:val="0"/>
        </w:rPr>
        <w:t xml:space="preserve">Articole vizate din propunere: </w:t>
      </w:r>
      <w:r>
        <w:rPr>
          <w:rFonts w:hint="default" w:ascii="Times New Roman" w:hAnsi="Times New Roman" w:cs="Times New Roman"/>
          <w:color w:val="000000"/>
          <w:sz w:val="24"/>
          <w:szCs w:val="24"/>
          <w:rtl w:val="0"/>
        </w:rPr>
        <w:t>Întregul proiect de lege B708/2025.</w:t>
      </w:r>
    </w:p>
    <w:p w14:paraId="00000005">
      <w:pPr>
        <w:pStyle w:val="5"/>
        <w:keepNext w:val="0"/>
        <w:keepLines w:val="0"/>
        <w:pageBreakBefore w:val="0"/>
        <w:widowControl/>
        <w:numPr>
          <w:ilvl w:val="0"/>
          <w:numId w:val="1"/>
        </w:numPr>
        <w:kinsoku/>
        <w:wordWrap/>
        <w:overflowPunct/>
        <w:topLinePunct w:val="0"/>
        <w:autoSpaceDE/>
        <w:autoSpaceDN/>
        <w:bidi w:val="0"/>
        <w:adjustRightInd/>
        <w:snapToGrid/>
        <w:spacing w:before="0" w:after="0"/>
        <w:ind w:left="720" w:hanging="360"/>
        <w:jc w:val="both"/>
        <w:textAlignment w:val="auto"/>
        <w:rPr>
          <w:rFonts w:hint="default" w:ascii="Times New Roman" w:hAnsi="Times New Roman" w:cs="Times New Roman"/>
          <w:b/>
          <w:bCs/>
          <w:color w:val="000000"/>
          <w:sz w:val="24"/>
          <w:szCs w:val="24"/>
        </w:rPr>
      </w:pPr>
      <w:r>
        <w:rPr>
          <w:rFonts w:hint="default" w:ascii="Times New Roman" w:hAnsi="Times New Roman" w:cs="Times New Roman"/>
          <w:b/>
          <w:bCs/>
          <w:color w:val="000000"/>
          <w:sz w:val="24"/>
          <w:szCs w:val="24"/>
          <w:rtl w:val="0"/>
        </w:rPr>
        <w:t xml:space="preserve">Norme încălcate: </w:t>
      </w:r>
      <w:r>
        <w:rPr>
          <w:rFonts w:hint="default" w:ascii="Times New Roman" w:hAnsi="Times New Roman" w:cs="Times New Roman"/>
          <w:color w:val="000000"/>
          <w:sz w:val="24"/>
          <w:szCs w:val="24"/>
          <w:rtl w:val="0"/>
        </w:rPr>
        <w:t>Art. 1 alin. (5) din Constituție (Securitatea juridică); Legea nr. 213/2004 (privind exercitarea profesiei de psiholog); Legea nr. 24/2000 (Tehnica legislativă - principiul transparenței și participării).</w:t>
      </w:r>
    </w:p>
    <w:p w14:paraId="00000006">
      <w:pPr>
        <w:pStyle w:val="5"/>
        <w:keepNext w:val="0"/>
        <w:keepLines w:val="0"/>
        <w:pageBreakBefore w:val="0"/>
        <w:widowControl/>
        <w:numPr>
          <w:ilvl w:val="0"/>
          <w:numId w:val="1"/>
        </w:numPr>
        <w:kinsoku/>
        <w:wordWrap/>
        <w:overflowPunct/>
        <w:topLinePunct w:val="0"/>
        <w:autoSpaceDE/>
        <w:autoSpaceDN/>
        <w:bidi w:val="0"/>
        <w:adjustRightInd/>
        <w:snapToGrid/>
        <w:spacing w:before="0" w:after="0"/>
        <w:ind w:left="720" w:hanging="360"/>
        <w:jc w:val="both"/>
        <w:textAlignment w:val="auto"/>
        <w:rPr>
          <w:rFonts w:hint="default" w:ascii="Times New Roman" w:hAnsi="Times New Roman" w:cs="Times New Roman"/>
          <w:b/>
          <w:bCs/>
          <w:color w:val="000000"/>
          <w:sz w:val="24"/>
          <w:szCs w:val="24"/>
        </w:rPr>
      </w:pPr>
      <w:r>
        <w:rPr>
          <w:rFonts w:hint="default" w:ascii="Times New Roman" w:hAnsi="Times New Roman" w:cs="Times New Roman"/>
          <w:b/>
          <w:bCs/>
          <w:color w:val="000000"/>
          <w:sz w:val="24"/>
          <w:szCs w:val="24"/>
          <w:rtl w:val="0"/>
        </w:rPr>
        <w:t>Analiză:</w:t>
      </w:r>
    </w:p>
    <w:p w14:paraId="00000007">
      <w:pPr>
        <w:pStyle w:val="5"/>
        <w:keepNext w:val="0"/>
        <w:keepLines w:val="0"/>
        <w:pageBreakBefore w:val="0"/>
        <w:widowControl/>
        <w:kinsoku/>
        <w:wordWrap/>
        <w:overflowPunct/>
        <w:topLinePunct w:val="0"/>
        <w:autoSpaceDE/>
        <w:autoSpaceDN/>
        <w:bidi w:val="0"/>
        <w:adjustRightInd/>
        <w:snapToGrid/>
        <w:spacing w:before="0" w:after="0"/>
        <w:ind w:left="0" w:firstLine="720"/>
        <w:jc w:val="both"/>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Eludarea Convenției Naționale a CPR — organul suprem de conducere și reprezentare a voinței colective a psihologilor — transformă inițiativa legislativă într-un act unilateral, lipsit de reprezentativitate socială.</w:t>
      </w:r>
    </w:p>
    <w:bookmarkEnd w:id="1"/>
    <w:p w14:paraId="00000008">
      <w:pPr>
        <w:pStyle w:val="5"/>
        <w:keepNext w:val="0"/>
        <w:keepLines w:val="0"/>
        <w:pageBreakBefore w:val="0"/>
        <w:widowControl/>
        <w:kinsoku/>
        <w:wordWrap/>
        <w:overflowPunct/>
        <w:topLinePunct w:val="0"/>
        <w:autoSpaceDE/>
        <w:autoSpaceDN/>
        <w:bidi w:val="0"/>
        <w:adjustRightInd/>
        <w:snapToGrid/>
        <w:spacing w:before="0" w:after="0"/>
        <w:ind w:left="0" w:firstLine="720"/>
        <w:jc w:val="both"/>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Înaintarea proiectului către Parlament fără avizul forurilor democratice interne prevăzute de Legea 213/2004 (în vigoare) încalcă principiul autonomiei profesionale și al auto-guvernării.</w:t>
      </w:r>
    </w:p>
    <w:p w14:paraId="00000009">
      <w:pPr>
        <w:pStyle w:val="5"/>
        <w:keepNext w:val="0"/>
        <w:keepLines w:val="0"/>
        <w:pageBreakBefore w:val="0"/>
        <w:widowControl/>
        <w:kinsoku/>
        <w:wordWrap/>
        <w:overflowPunct/>
        <w:topLinePunct w:val="0"/>
        <w:autoSpaceDE/>
        <w:autoSpaceDN/>
        <w:bidi w:val="0"/>
        <w:adjustRightInd/>
        <w:snapToGrid/>
        <w:spacing w:before="0" w:after="0"/>
        <w:ind w:left="0" w:firstLine="720"/>
        <w:jc w:val="both"/>
        <w:textAlignment w:val="auto"/>
        <w:rPr>
          <w:rFonts w:hint="default" w:ascii="Times New Roman" w:hAnsi="Times New Roman" w:cs="Times New Roman"/>
          <w:color w:val="000000"/>
          <w:sz w:val="24"/>
          <w:szCs w:val="24"/>
        </w:rPr>
      </w:pPr>
      <w:bookmarkStart w:id="2" w:name="_7vyclmvd3izn" w:colFirst="0" w:colLast="0"/>
      <w:bookmarkEnd w:id="2"/>
      <w:r>
        <w:rPr>
          <w:rFonts w:hint="default" w:ascii="Times New Roman" w:hAnsi="Times New Roman" w:cs="Times New Roman"/>
          <w:color w:val="000000"/>
          <w:sz w:val="24"/>
          <w:szCs w:val="24"/>
          <w:rtl w:val="0"/>
        </w:rPr>
        <w:t>Această omisiune procedurală atrage un viciu de legitimitate care afectează fundamentul democratic al viitoarei reglementări, încălcând obligația de a asigura o legislație predictibilă și fundamentată pe consultarea reală a partenerilor sociali.</w:t>
      </w:r>
    </w:p>
    <w:p w14:paraId="0000000A">
      <w:pPr>
        <w:keepNext w:val="0"/>
        <w:keepLines w:val="0"/>
        <w:pageBreakBefore w:val="0"/>
        <w:widowControl/>
        <w:kinsoku/>
        <w:wordWrap/>
        <w:overflowPunct/>
        <w:topLinePunct w:val="0"/>
        <w:autoSpaceDE/>
        <w:autoSpaceDN/>
        <w:bidi w:val="0"/>
        <w:adjustRightInd/>
        <w:snapToGrid/>
        <w:ind w:left="0" w:firstLine="0"/>
        <w:textAlignment w:val="auto"/>
        <w:rPr>
          <w:rFonts w:hint="default" w:ascii="Times New Roman" w:hAnsi="Times New Roman" w:cs="Times New Roman"/>
          <w:sz w:val="24"/>
          <w:szCs w:val="24"/>
        </w:rPr>
      </w:pPr>
    </w:p>
    <w:p w14:paraId="0000000B">
      <w:pPr>
        <w:pStyle w:val="5"/>
        <w:keepNext w:val="0"/>
        <w:keepLines w:val="0"/>
        <w:pageBreakBefore w:val="0"/>
        <w:widowControl/>
        <w:kinsoku/>
        <w:wordWrap/>
        <w:overflowPunct/>
        <w:topLinePunct w:val="0"/>
        <w:autoSpaceDE/>
        <w:autoSpaceDN/>
        <w:bidi w:val="0"/>
        <w:adjustRightInd/>
        <w:snapToGrid/>
        <w:spacing w:before="0" w:after="40"/>
        <w:jc w:val="both"/>
        <w:textAlignment w:val="auto"/>
        <w:rPr>
          <w:rFonts w:hint="default" w:ascii="Times New Roman" w:hAnsi="Times New Roman" w:cs="Times New Roman"/>
          <w:b/>
          <w:bCs/>
          <w:color w:val="000000"/>
          <w:sz w:val="24"/>
          <w:szCs w:val="24"/>
        </w:rPr>
      </w:pPr>
      <w:bookmarkStart w:id="3" w:name="_26sc0jpcyy1o" w:colFirst="0" w:colLast="0"/>
      <w:bookmarkEnd w:id="3"/>
      <w:r>
        <w:rPr>
          <w:rFonts w:hint="default" w:ascii="Times New Roman" w:hAnsi="Times New Roman" w:cs="Times New Roman"/>
          <w:b/>
          <w:bCs/>
          <w:color w:val="000000"/>
          <w:sz w:val="24"/>
          <w:szCs w:val="24"/>
          <w:rtl w:val="0"/>
        </w:rPr>
        <w:t>2. Dobândirea și suspendarea dreptului de liberă practică</w:t>
      </w:r>
    </w:p>
    <w:p w14:paraId="0000000C">
      <w:pPr>
        <w:keepNext w:val="0"/>
        <w:keepLines w:val="0"/>
        <w:pageBreakBefore w:val="0"/>
        <w:widowControl/>
        <w:numPr>
          <w:ilvl w:val="0"/>
          <w:numId w:val="2"/>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Articole vizate din propunere:</w:t>
      </w:r>
      <w:r>
        <w:rPr>
          <w:rFonts w:hint="default" w:ascii="Times New Roman" w:hAnsi="Times New Roman" w:cs="Times New Roman"/>
          <w:sz w:val="24"/>
          <w:szCs w:val="24"/>
          <w:rtl w:val="0"/>
        </w:rPr>
        <w:t xml:space="preserve"> Art. 1, 2, 7, 18, 144, 151.</w:t>
      </w:r>
    </w:p>
    <w:p w14:paraId="0000000D">
      <w:pPr>
        <w:keepNext w:val="0"/>
        <w:keepLines w:val="0"/>
        <w:pageBreakBefore w:val="0"/>
        <w:widowControl/>
        <w:numPr>
          <w:ilvl w:val="0"/>
          <w:numId w:val="2"/>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Norme încălcate:</w:t>
      </w:r>
      <w:r>
        <w:rPr>
          <w:rFonts w:hint="default" w:ascii="Times New Roman" w:hAnsi="Times New Roman" w:cs="Times New Roman"/>
          <w:sz w:val="24"/>
          <w:szCs w:val="24"/>
          <w:rtl w:val="0"/>
        </w:rPr>
        <w:t xml:space="preserve"> Art. 1 alin. (5) (Predictibilitatea normei) și Art. 41 (Dreptul la muncă) din Constituție; Legea nr. 24/2000.</w:t>
      </w:r>
    </w:p>
    <w:p w14:paraId="0000000E">
      <w:pPr>
        <w:keepNext w:val="0"/>
        <w:keepLines w:val="0"/>
        <w:pageBreakBefore w:val="0"/>
        <w:widowControl/>
        <w:numPr>
          <w:ilvl w:val="0"/>
          <w:numId w:val="2"/>
        </w:numPr>
        <w:kinsoku/>
        <w:wordWrap/>
        <w:overflowPunct/>
        <w:topLinePunct w:val="0"/>
        <w:autoSpaceDE/>
        <w:autoSpaceDN/>
        <w:bidi w:val="0"/>
        <w:adjustRightInd/>
        <w:snapToGrid/>
        <w:spacing w:after="24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Analiză:</w:t>
      </w:r>
      <w:r>
        <w:rPr>
          <w:rFonts w:hint="default" w:ascii="Times New Roman" w:hAnsi="Times New Roman" w:cs="Times New Roman"/>
          <w:sz w:val="24"/>
          <w:szCs w:val="24"/>
          <w:rtl w:val="0"/>
        </w:rPr>
        <w:t xml:space="preserve"> Propunerea deleagă „condițiile și formele” de dobândire a dreptului de practică către </w:t>
      </w:r>
      <w:r>
        <w:rPr>
          <w:rFonts w:hint="default" w:ascii="Times New Roman" w:hAnsi="Times New Roman" w:cs="Times New Roman"/>
          <w:b/>
          <w:bCs/>
          <w:sz w:val="24"/>
          <w:szCs w:val="24"/>
          <w:rtl w:val="0"/>
        </w:rPr>
        <w:t>Statutul profesiei</w:t>
      </w:r>
      <w:r>
        <w:rPr>
          <w:rFonts w:hint="default" w:ascii="Times New Roman" w:hAnsi="Times New Roman" w:cs="Times New Roman"/>
          <w:sz w:val="24"/>
          <w:szCs w:val="24"/>
          <w:rtl w:val="0"/>
        </w:rPr>
        <w:t xml:space="preserve"> (act administrativ), încălcând rezerva de lege. Conform Deciziei CCR 462/2014, elementele esențiale care limitează exercițiul unei profesii reglementate trebuie prevăzute în legea primară. Suspendarea dreptului de practică prin decizii administrative ale Biroului Executiv (Art. 144) fără criterii stricte în lege aduce atingere substanței dreptului la muncă. Art. 151 (2) instituie un termen de decădere (24 luni) pentru preschimbarea atestatelor sub sancțiunea nulității absolute, măsură disproporționată raportat la scopul urmărit (Art. 53 Constituție).</w:t>
      </w:r>
    </w:p>
    <w:p w14:paraId="0000000F">
      <w:pPr>
        <w:pStyle w:val="5"/>
        <w:keepNext w:val="0"/>
        <w:keepLines w:val="0"/>
        <w:pageBreakBefore w:val="0"/>
        <w:widowControl/>
        <w:kinsoku/>
        <w:wordWrap/>
        <w:overflowPunct/>
        <w:topLinePunct w:val="0"/>
        <w:autoSpaceDE/>
        <w:autoSpaceDN/>
        <w:bidi w:val="0"/>
        <w:adjustRightInd/>
        <w:snapToGrid/>
        <w:spacing w:before="0" w:after="40"/>
        <w:jc w:val="both"/>
        <w:textAlignment w:val="auto"/>
        <w:rPr>
          <w:rFonts w:hint="default" w:ascii="Times New Roman" w:hAnsi="Times New Roman" w:cs="Times New Roman"/>
          <w:b/>
          <w:bCs/>
          <w:color w:val="000000"/>
          <w:sz w:val="24"/>
          <w:szCs w:val="24"/>
        </w:rPr>
      </w:pPr>
      <w:bookmarkStart w:id="4" w:name="_hff736y3t3fd" w:colFirst="0" w:colLast="0"/>
      <w:bookmarkEnd w:id="4"/>
      <w:r>
        <w:rPr>
          <w:rFonts w:hint="default" w:ascii="Times New Roman" w:hAnsi="Times New Roman" w:cs="Times New Roman"/>
          <w:b/>
          <w:bCs/>
          <w:color w:val="000000"/>
          <w:sz w:val="24"/>
          <w:szCs w:val="24"/>
          <w:rtl w:val="0"/>
        </w:rPr>
        <w:t>3. Condiționarea accesului și progresiei prin examen standardizat scris</w:t>
      </w:r>
    </w:p>
    <w:p w14:paraId="00000010">
      <w:pPr>
        <w:keepNext w:val="0"/>
        <w:keepLines w:val="0"/>
        <w:pageBreakBefore w:val="0"/>
        <w:widowControl/>
        <w:numPr>
          <w:ilvl w:val="0"/>
          <w:numId w:val="3"/>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Articole vizate din propunere:</w:t>
      </w:r>
      <w:r>
        <w:rPr>
          <w:rFonts w:hint="default" w:ascii="Times New Roman" w:hAnsi="Times New Roman" w:cs="Times New Roman"/>
          <w:sz w:val="24"/>
          <w:szCs w:val="24"/>
          <w:rtl w:val="0"/>
        </w:rPr>
        <w:t xml:space="preserve"> Art. 33, 56, 112, 147.</w:t>
      </w:r>
    </w:p>
    <w:p w14:paraId="00000011">
      <w:pPr>
        <w:keepNext w:val="0"/>
        <w:keepLines w:val="0"/>
        <w:pageBreakBefore w:val="0"/>
        <w:widowControl/>
        <w:numPr>
          <w:ilvl w:val="0"/>
          <w:numId w:val="3"/>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Norme încălcate:</w:t>
      </w:r>
      <w:r>
        <w:rPr>
          <w:rFonts w:hint="default" w:ascii="Times New Roman" w:hAnsi="Times New Roman" w:cs="Times New Roman"/>
          <w:sz w:val="24"/>
          <w:szCs w:val="24"/>
          <w:rtl w:val="0"/>
        </w:rPr>
        <w:t xml:space="preserve"> Art. 16 (Egalitatea în drepturi) și Art. 41 (Dreptul la muncă) din Constituție; Directiva (UE) 2018/958 (Testul de proporționalitate).</w:t>
      </w:r>
    </w:p>
    <w:p w14:paraId="00000012">
      <w:pPr>
        <w:keepNext w:val="0"/>
        <w:keepLines w:val="0"/>
        <w:pageBreakBefore w:val="0"/>
        <w:widowControl/>
        <w:numPr>
          <w:ilvl w:val="0"/>
          <w:numId w:val="3"/>
        </w:numPr>
        <w:kinsoku/>
        <w:wordWrap/>
        <w:overflowPunct/>
        <w:topLinePunct w:val="0"/>
        <w:autoSpaceDE/>
        <w:autoSpaceDN/>
        <w:bidi w:val="0"/>
        <w:adjustRightInd/>
        <w:snapToGrid/>
        <w:spacing w:after="24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Analiză:</w:t>
      </w:r>
      <w:r>
        <w:rPr>
          <w:rFonts w:hint="default" w:ascii="Times New Roman" w:hAnsi="Times New Roman" w:cs="Times New Roman"/>
          <w:sz w:val="24"/>
          <w:szCs w:val="24"/>
          <w:rtl w:val="0"/>
        </w:rPr>
        <w:t xml:space="preserve"> Instituirea unui examen standardizat ca barieră unică de acces și progresie (stagiar - specialist - principal), ignorând parcursul academic și experiența clinică, încalcă principiul proporționalității. Condiționarea accesului în organele de conducere (Art. 112) exclusiv de gradul profesional creează o discriminare nejustificată între membrii cu drepturi depline, încălcând dreptul de a fi ales într-o organizație de interes public.</w:t>
      </w:r>
    </w:p>
    <w:p w14:paraId="60ECD54A">
      <w:pPr>
        <w:keepNext w:val="0"/>
        <w:keepLines w:val="0"/>
        <w:pageBreakBefore w:val="0"/>
        <w:widowControl/>
        <w:numPr>
          <w:numId w:val="0"/>
        </w:numPr>
        <w:kinsoku/>
        <w:wordWrap/>
        <w:overflowPunct/>
        <w:topLinePunct w:val="0"/>
        <w:autoSpaceDE/>
        <w:autoSpaceDN/>
        <w:bidi w:val="0"/>
        <w:adjustRightInd/>
        <w:snapToGrid/>
        <w:spacing w:after="240" w:line="276" w:lineRule="auto"/>
        <w:jc w:val="both"/>
        <w:textAlignment w:val="auto"/>
        <w:rPr>
          <w:rFonts w:hint="default" w:ascii="Times New Roman" w:hAnsi="Times New Roman" w:cs="Times New Roman"/>
          <w:sz w:val="24"/>
          <w:szCs w:val="24"/>
          <w:rtl w:val="0"/>
        </w:rPr>
      </w:pPr>
    </w:p>
    <w:p w14:paraId="2F5CFBA2">
      <w:pPr>
        <w:keepNext w:val="0"/>
        <w:keepLines w:val="0"/>
        <w:pageBreakBefore w:val="0"/>
        <w:widowControl/>
        <w:numPr>
          <w:numId w:val="0"/>
        </w:numPr>
        <w:kinsoku/>
        <w:wordWrap/>
        <w:overflowPunct/>
        <w:topLinePunct w:val="0"/>
        <w:autoSpaceDE/>
        <w:autoSpaceDN/>
        <w:bidi w:val="0"/>
        <w:adjustRightInd/>
        <w:snapToGrid/>
        <w:spacing w:after="240" w:line="276" w:lineRule="auto"/>
        <w:jc w:val="both"/>
        <w:textAlignment w:val="auto"/>
        <w:rPr>
          <w:rFonts w:hint="default" w:ascii="Times New Roman" w:hAnsi="Times New Roman" w:cs="Times New Roman"/>
          <w:sz w:val="24"/>
          <w:szCs w:val="24"/>
          <w:rtl w:val="0"/>
        </w:rPr>
      </w:pPr>
    </w:p>
    <w:p w14:paraId="00000013">
      <w:pPr>
        <w:pStyle w:val="5"/>
        <w:keepNext w:val="0"/>
        <w:keepLines w:val="0"/>
        <w:pageBreakBefore w:val="0"/>
        <w:widowControl/>
        <w:kinsoku/>
        <w:wordWrap/>
        <w:overflowPunct/>
        <w:topLinePunct w:val="0"/>
        <w:autoSpaceDE/>
        <w:autoSpaceDN/>
        <w:bidi w:val="0"/>
        <w:adjustRightInd/>
        <w:snapToGrid/>
        <w:spacing w:before="0" w:after="40"/>
        <w:jc w:val="both"/>
        <w:textAlignment w:val="auto"/>
        <w:rPr>
          <w:rFonts w:hint="default" w:ascii="Times New Roman" w:hAnsi="Times New Roman" w:cs="Times New Roman"/>
          <w:b/>
          <w:bCs/>
          <w:color w:val="000000"/>
          <w:sz w:val="24"/>
          <w:szCs w:val="24"/>
        </w:rPr>
      </w:pPr>
      <w:bookmarkStart w:id="5" w:name="_o2s5pb4q2rq4" w:colFirst="0" w:colLast="0"/>
      <w:bookmarkEnd w:id="5"/>
      <w:r>
        <w:rPr>
          <w:rFonts w:hint="default" w:ascii="Times New Roman" w:hAnsi="Times New Roman" w:cs="Times New Roman"/>
          <w:b/>
          <w:bCs/>
          <w:color w:val="000000"/>
          <w:sz w:val="24"/>
          <w:szCs w:val="24"/>
          <w:rtl w:val="0"/>
        </w:rPr>
        <w:t>4. Lipsa mecanismelor interne de jurisdicție administrativă</w:t>
      </w:r>
    </w:p>
    <w:p w14:paraId="00000014">
      <w:pPr>
        <w:keepNext w:val="0"/>
        <w:keepLines w:val="0"/>
        <w:pageBreakBefore w:val="0"/>
        <w:widowControl/>
        <w:numPr>
          <w:ilvl w:val="0"/>
          <w:numId w:val="4"/>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Articole vizate din propunere:</w:t>
      </w:r>
      <w:r>
        <w:rPr>
          <w:rFonts w:hint="default" w:ascii="Times New Roman" w:hAnsi="Times New Roman" w:cs="Times New Roman"/>
          <w:sz w:val="24"/>
          <w:szCs w:val="24"/>
          <w:rtl w:val="0"/>
        </w:rPr>
        <w:t xml:space="preserve"> Art. 141, 143, 145.</w:t>
      </w:r>
    </w:p>
    <w:p w14:paraId="00000015">
      <w:pPr>
        <w:keepNext w:val="0"/>
        <w:keepLines w:val="0"/>
        <w:pageBreakBefore w:val="0"/>
        <w:widowControl/>
        <w:numPr>
          <w:ilvl w:val="0"/>
          <w:numId w:val="4"/>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Norme încălcate:</w:t>
      </w:r>
      <w:r>
        <w:rPr>
          <w:rFonts w:hint="default" w:ascii="Times New Roman" w:hAnsi="Times New Roman" w:cs="Times New Roman"/>
          <w:sz w:val="24"/>
          <w:szCs w:val="24"/>
          <w:rtl w:val="0"/>
        </w:rPr>
        <w:t xml:space="preserve"> Art. 21 (Accesul liber la justiție) și Art. 1 alin. (4) (Separarea puterilor) din Constituție; Legea nr. 554/2004.</w:t>
      </w:r>
    </w:p>
    <w:p w14:paraId="00000016">
      <w:pPr>
        <w:keepNext w:val="0"/>
        <w:keepLines w:val="0"/>
        <w:pageBreakBefore w:val="0"/>
        <w:widowControl/>
        <w:numPr>
          <w:ilvl w:val="0"/>
          <w:numId w:val="4"/>
        </w:numPr>
        <w:kinsoku/>
        <w:wordWrap/>
        <w:overflowPunct/>
        <w:topLinePunct w:val="0"/>
        <w:autoSpaceDE/>
        <w:autoSpaceDN/>
        <w:bidi w:val="0"/>
        <w:adjustRightInd/>
        <w:snapToGrid/>
        <w:spacing w:after="24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Analiză:</w:t>
      </w:r>
      <w:r>
        <w:rPr>
          <w:rFonts w:hint="default" w:ascii="Times New Roman" w:hAnsi="Times New Roman" w:cs="Times New Roman"/>
          <w:sz w:val="24"/>
          <w:szCs w:val="24"/>
          <w:rtl w:val="0"/>
        </w:rPr>
        <w:t xml:space="preserve"> Propunerea concentrează puterea de cercetare, judecare și executare a sancțiunilor la nivelul Biroului Executiv și al Consiliului Național. Absența unei instanțe disciplinare independente și forțarea apelului intern (fără control judecătoresc direct pe anumite faze) încalcă principiul </w:t>
      </w:r>
      <w:r>
        <w:rPr>
          <w:rFonts w:hint="default" w:ascii="Times New Roman" w:hAnsi="Times New Roman" w:cs="Times New Roman"/>
          <w:i/>
          <w:iCs/>
          <w:sz w:val="24"/>
          <w:szCs w:val="24"/>
          <w:rtl w:val="0"/>
        </w:rPr>
        <w:t>nemo iudex in causa sua</w:t>
      </w:r>
      <w:r>
        <w:rPr>
          <w:rFonts w:hint="default" w:ascii="Times New Roman" w:hAnsi="Times New Roman" w:cs="Times New Roman"/>
          <w:sz w:val="24"/>
          <w:szCs w:val="24"/>
          <w:rtl w:val="0"/>
        </w:rPr>
        <w:t>. Jurisdicția administrativă este pur formală, decizia finală fiind politizată și administrată de aceleași organe care emit normele.</w:t>
      </w:r>
    </w:p>
    <w:p w14:paraId="00000017">
      <w:pPr>
        <w:pStyle w:val="5"/>
        <w:keepNext w:val="0"/>
        <w:keepLines w:val="0"/>
        <w:pageBreakBefore w:val="0"/>
        <w:widowControl/>
        <w:kinsoku/>
        <w:wordWrap/>
        <w:overflowPunct/>
        <w:topLinePunct w:val="0"/>
        <w:autoSpaceDE/>
        <w:autoSpaceDN/>
        <w:bidi w:val="0"/>
        <w:adjustRightInd/>
        <w:snapToGrid/>
        <w:spacing w:before="0" w:after="40"/>
        <w:jc w:val="both"/>
        <w:textAlignment w:val="auto"/>
        <w:rPr>
          <w:rFonts w:hint="default" w:ascii="Times New Roman" w:hAnsi="Times New Roman" w:cs="Times New Roman"/>
          <w:b/>
          <w:bCs/>
          <w:color w:val="000000"/>
          <w:sz w:val="24"/>
          <w:szCs w:val="24"/>
        </w:rPr>
      </w:pPr>
      <w:bookmarkStart w:id="6" w:name="_bdi889bhdm53" w:colFirst="0" w:colLast="0"/>
      <w:bookmarkEnd w:id="6"/>
      <w:r>
        <w:rPr>
          <w:rFonts w:hint="default" w:ascii="Times New Roman" w:hAnsi="Times New Roman" w:cs="Times New Roman"/>
          <w:b/>
          <w:bCs/>
          <w:color w:val="000000"/>
          <w:sz w:val="24"/>
          <w:szCs w:val="24"/>
          <w:rtl w:val="0"/>
        </w:rPr>
        <w:t>5. Absența controlului financiar intern (Comisia de Cenzori)</w:t>
      </w:r>
    </w:p>
    <w:p w14:paraId="00000018">
      <w:pPr>
        <w:keepNext w:val="0"/>
        <w:keepLines w:val="0"/>
        <w:pageBreakBefore w:val="0"/>
        <w:widowControl/>
        <w:numPr>
          <w:ilvl w:val="0"/>
          <w:numId w:val="5"/>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Articole vizate din propunere:</w:t>
      </w:r>
      <w:r>
        <w:rPr>
          <w:rFonts w:hint="default" w:ascii="Times New Roman" w:hAnsi="Times New Roman" w:cs="Times New Roman"/>
          <w:sz w:val="24"/>
          <w:szCs w:val="24"/>
          <w:rtl w:val="0"/>
        </w:rPr>
        <w:t xml:space="preserve"> Art. 102, 136, 137.</w:t>
      </w:r>
    </w:p>
    <w:p w14:paraId="00000019">
      <w:pPr>
        <w:keepNext w:val="0"/>
        <w:keepLines w:val="0"/>
        <w:pageBreakBefore w:val="0"/>
        <w:widowControl/>
        <w:numPr>
          <w:ilvl w:val="0"/>
          <w:numId w:val="5"/>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Norme încălcate:</w:t>
      </w:r>
      <w:r>
        <w:rPr>
          <w:rFonts w:hint="default" w:ascii="Times New Roman" w:hAnsi="Times New Roman" w:cs="Times New Roman"/>
          <w:sz w:val="24"/>
          <w:szCs w:val="24"/>
          <w:rtl w:val="0"/>
        </w:rPr>
        <w:t xml:space="preserve"> Principiile bunei guvernanțe; Ordonanța nr. 26/2000 (prin analogie privind transparența entităților de utilitate publică).</w:t>
      </w:r>
    </w:p>
    <w:p w14:paraId="0000001A">
      <w:pPr>
        <w:keepNext w:val="0"/>
        <w:keepLines w:val="0"/>
        <w:pageBreakBefore w:val="0"/>
        <w:widowControl/>
        <w:numPr>
          <w:ilvl w:val="0"/>
          <w:numId w:val="5"/>
        </w:numPr>
        <w:kinsoku/>
        <w:wordWrap/>
        <w:overflowPunct/>
        <w:topLinePunct w:val="0"/>
        <w:autoSpaceDE/>
        <w:autoSpaceDN/>
        <w:bidi w:val="0"/>
        <w:adjustRightInd/>
        <w:snapToGrid/>
        <w:spacing w:after="24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Analiză:</w:t>
      </w:r>
      <w:r>
        <w:rPr>
          <w:rFonts w:hint="default" w:ascii="Times New Roman" w:hAnsi="Times New Roman" w:cs="Times New Roman"/>
          <w:sz w:val="24"/>
          <w:szCs w:val="24"/>
          <w:rtl w:val="0"/>
        </w:rPr>
        <w:t xml:space="preserve"> Proiectul permite Consiliului Național și Biroului Executiv să stabilească taxe (Art. 136), să aprobe bugete și să direcționeze fonduri către entități private satelit (fundații/asociații - Art. 137), fără a institui o </w:t>
      </w:r>
      <w:r>
        <w:rPr>
          <w:rFonts w:hint="default" w:ascii="Times New Roman" w:hAnsi="Times New Roman" w:cs="Times New Roman"/>
          <w:b/>
          <w:bCs/>
          <w:sz w:val="24"/>
          <w:szCs w:val="24"/>
          <w:rtl w:val="0"/>
        </w:rPr>
        <w:t>Comisie de Cenzori independentă</w:t>
      </w:r>
      <w:r>
        <w:rPr>
          <w:rFonts w:hint="default" w:ascii="Times New Roman" w:hAnsi="Times New Roman" w:cs="Times New Roman"/>
          <w:sz w:val="24"/>
          <w:szCs w:val="24"/>
          <w:rtl w:val="0"/>
        </w:rPr>
        <w:t>. Această omisiune legislativă încurajează managementul defectuos al fondurilor provenite din cotizațiile membrilor și încalcă principiul transparenței financiare.</w:t>
      </w:r>
    </w:p>
    <w:p w14:paraId="0000001B">
      <w:pPr>
        <w:pStyle w:val="5"/>
        <w:keepNext w:val="0"/>
        <w:keepLines w:val="0"/>
        <w:pageBreakBefore w:val="0"/>
        <w:widowControl/>
        <w:kinsoku/>
        <w:wordWrap/>
        <w:overflowPunct/>
        <w:topLinePunct w:val="0"/>
        <w:autoSpaceDE/>
        <w:autoSpaceDN/>
        <w:bidi w:val="0"/>
        <w:adjustRightInd/>
        <w:snapToGrid/>
        <w:spacing w:before="0" w:after="40"/>
        <w:jc w:val="both"/>
        <w:textAlignment w:val="auto"/>
        <w:rPr>
          <w:rFonts w:hint="default" w:ascii="Times New Roman" w:hAnsi="Times New Roman" w:cs="Times New Roman"/>
          <w:b/>
          <w:bCs/>
          <w:color w:val="000000"/>
          <w:sz w:val="24"/>
          <w:szCs w:val="24"/>
        </w:rPr>
      </w:pPr>
      <w:bookmarkStart w:id="7" w:name="_dbalxnavl11" w:colFirst="0" w:colLast="0"/>
      <w:bookmarkEnd w:id="7"/>
      <w:r>
        <w:rPr>
          <w:rFonts w:hint="default" w:ascii="Times New Roman" w:hAnsi="Times New Roman" w:cs="Times New Roman"/>
          <w:b/>
          <w:bCs/>
          <w:color w:val="000000"/>
          <w:sz w:val="24"/>
          <w:szCs w:val="24"/>
          <w:rtl w:val="0"/>
        </w:rPr>
        <w:t>6. Conflictul cu instituțiile de învățământ superior (Recunoașterea diplomelor)</w:t>
      </w:r>
    </w:p>
    <w:p w14:paraId="0000001C">
      <w:pPr>
        <w:keepNext w:val="0"/>
        <w:keepLines w:val="0"/>
        <w:pageBreakBefore w:val="0"/>
        <w:widowControl/>
        <w:numPr>
          <w:ilvl w:val="0"/>
          <w:numId w:val="6"/>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Articole vizate din propunere:</w:t>
      </w:r>
      <w:r>
        <w:rPr>
          <w:rFonts w:hint="default" w:ascii="Times New Roman" w:hAnsi="Times New Roman" w:cs="Times New Roman"/>
          <w:sz w:val="24"/>
          <w:szCs w:val="24"/>
          <w:rtl w:val="0"/>
        </w:rPr>
        <w:t xml:space="preserve"> Art. 31, 55, 109, 153.</w:t>
      </w:r>
    </w:p>
    <w:p w14:paraId="0000001D">
      <w:pPr>
        <w:keepNext w:val="0"/>
        <w:keepLines w:val="0"/>
        <w:pageBreakBefore w:val="0"/>
        <w:widowControl/>
        <w:numPr>
          <w:ilvl w:val="0"/>
          <w:numId w:val="6"/>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Norme încălcate:</w:t>
      </w:r>
      <w:r>
        <w:rPr>
          <w:rFonts w:hint="default" w:ascii="Times New Roman" w:hAnsi="Times New Roman" w:cs="Times New Roman"/>
          <w:sz w:val="24"/>
          <w:szCs w:val="24"/>
          <w:rtl w:val="0"/>
        </w:rPr>
        <w:t xml:space="preserve"> Art. 32 (Dreptul la învățătură) din Constituție; Legea Învățământului Superior nr. 199/2023.</w:t>
      </w:r>
    </w:p>
    <w:p w14:paraId="0000001E">
      <w:pPr>
        <w:keepNext w:val="0"/>
        <w:keepLines w:val="0"/>
        <w:pageBreakBefore w:val="0"/>
        <w:widowControl/>
        <w:numPr>
          <w:ilvl w:val="0"/>
          <w:numId w:val="6"/>
        </w:numPr>
        <w:kinsoku/>
        <w:wordWrap/>
        <w:overflowPunct/>
        <w:topLinePunct w:val="0"/>
        <w:autoSpaceDE/>
        <w:autoSpaceDN/>
        <w:bidi w:val="0"/>
        <w:adjustRightInd/>
        <w:snapToGrid/>
        <w:spacing w:after="24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Analiză:</w:t>
      </w:r>
      <w:r>
        <w:rPr>
          <w:rFonts w:hint="default" w:ascii="Times New Roman" w:hAnsi="Times New Roman" w:cs="Times New Roman"/>
          <w:sz w:val="24"/>
          <w:szCs w:val="24"/>
          <w:rtl w:val="0"/>
        </w:rPr>
        <w:t xml:space="preserve"> Art. 109 oferă CPR puterea de a „recunoaște” programe de master, subordonând actul academic universitar unei decizii administrative. Aceasta reprezintă o ingerință gravă în </w:t>
      </w:r>
      <w:r>
        <w:rPr>
          <w:rFonts w:hint="default" w:ascii="Times New Roman" w:hAnsi="Times New Roman" w:cs="Times New Roman"/>
          <w:b/>
          <w:bCs/>
          <w:sz w:val="24"/>
          <w:szCs w:val="24"/>
          <w:rtl w:val="0"/>
        </w:rPr>
        <w:t>autonomia universitară</w:t>
      </w:r>
      <w:r>
        <w:rPr>
          <w:rFonts w:hint="default" w:ascii="Times New Roman" w:hAnsi="Times New Roman" w:cs="Times New Roman"/>
          <w:sz w:val="24"/>
          <w:szCs w:val="24"/>
          <w:rtl w:val="0"/>
        </w:rPr>
        <w:t>. CPR nu are competență legală de a invalida o diplomă de studii eliberată de o instituție acreditată de Ministerul Educației (prin ARACIS), creând un conflict de norme între legislația educației și legea specială a profesiei.</w:t>
      </w:r>
    </w:p>
    <w:p w14:paraId="0000001F">
      <w:pPr>
        <w:pStyle w:val="5"/>
        <w:keepNext w:val="0"/>
        <w:keepLines w:val="0"/>
        <w:pageBreakBefore w:val="0"/>
        <w:widowControl/>
        <w:kinsoku/>
        <w:wordWrap/>
        <w:overflowPunct/>
        <w:topLinePunct w:val="0"/>
        <w:autoSpaceDE/>
        <w:autoSpaceDN/>
        <w:bidi w:val="0"/>
        <w:adjustRightInd/>
        <w:snapToGrid/>
        <w:spacing w:before="0" w:after="40"/>
        <w:jc w:val="both"/>
        <w:textAlignment w:val="auto"/>
        <w:rPr>
          <w:rFonts w:hint="default" w:ascii="Times New Roman" w:hAnsi="Times New Roman" w:cs="Times New Roman"/>
          <w:b/>
          <w:bCs/>
          <w:color w:val="000000"/>
          <w:sz w:val="24"/>
          <w:szCs w:val="24"/>
        </w:rPr>
      </w:pPr>
      <w:bookmarkStart w:id="8" w:name="_cq3rwxwycq96" w:colFirst="0" w:colLast="0"/>
      <w:bookmarkEnd w:id="8"/>
      <w:r>
        <w:rPr>
          <w:rFonts w:hint="default" w:ascii="Times New Roman" w:hAnsi="Times New Roman" w:cs="Times New Roman"/>
          <w:b/>
          <w:bCs/>
          <w:color w:val="000000"/>
          <w:sz w:val="24"/>
          <w:szCs w:val="24"/>
          <w:rtl w:val="0"/>
        </w:rPr>
        <w:t>7. Conflictul cu Ministerul Sănătății și imixtiunea în instituții</w:t>
      </w:r>
    </w:p>
    <w:p w14:paraId="00000020">
      <w:pPr>
        <w:keepNext w:val="0"/>
        <w:keepLines w:val="0"/>
        <w:pageBreakBefore w:val="0"/>
        <w:widowControl/>
        <w:numPr>
          <w:ilvl w:val="0"/>
          <w:numId w:val="7"/>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Articole vizate din propunere:</w:t>
      </w:r>
      <w:r>
        <w:rPr>
          <w:rFonts w:hint="default" w:ascii="Times New Roman" w:hAnsi="Times New Roman" w:cs="Times New Roman"/>
          <w:sz w:val="24"/>
          <w:szCs w:val="24"/>
          <w:rtl w:val="0"/>
        </w:rPr>
        <w:t xml:space="preserve"> Art. 103, 117 (lit. z), 118 (lit. j).</w:t>
      </w:r>
    </w:p>
    <w:p w14:paraId="00000021">
      <w:pPr>
        <w:keepNext w:val="0"/>
        <w:keepLines w:val="0"/>
        <w:pageBreakBefore w:val="0"/>
        <w:widowControl/>
        <w:numPr>
          <w:ilvl w:val="0"/>
          <w:numId w:val="7"/>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Norme încălcate:</w:t>
      </w:r>
      <w:r>
        <w:rPr>
          <w:rFonts w:hint="default" w:ascii="Times New Roman" w:hAnsi="Times New Roman" w:cs="Times New Roman"/>
          <w:sz w:val="24"/>
          <w:szCs w:val="24"/>
          <w:rtl w:val="0"/>
        </w:rPr>
        <w:t xml:space="preserve"> Legea nr. 95/2006 privind reforma în sănătate; Codul Administrativ.</w:t>
      </w:r>
    </w:p>
    <w:p w14:paraId="00000022">
      <w:pPr>
        <w:keepNext w:val="0"/>
        <w:keepLines w:val="0"/>
        <w:pageBreakBefore w:val="0"/>
        <w:widowControl/>
        <w:numPr>
          <w:ilvl w:val="0"/>
          <w:numId w:val="7"/>
        </w:numPr>
        <w:kinsoku/>
        <w:wordWrap/>
        <w:overflowPunct/>
        <w:topLinePunct w:val="0"/>
        <w:autoSpaceDE/>
        <w:autoSpaceDN/>
        <w:bidi w:val="0"/>
        <w:adjustRightInd/>
        <w:snapToGrid/>
        <w:spacing w:after="24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Analiză:</w:t>
      </w:r>
      <w:r>
        <w:rPr>
          <w:rFonts w:hint="default" w:ascii="Times New Roman" w:hAnsi="Times New Roman" w:cs="Times New Roman"/>
          <w:sz w:val="24"/>
          <w:szCs w:val="24"/>
          <w:rtl w:val="0"/>
        </w:rPr>
        <w:t xml:space="preserve"> Propunerea oferă Președintelui CPR atribuții de a „veghea” la asigurarea condițiilor de muncă în instituții (Art. 118 j), fapt ce constituie o imixtiune în prerogativele manageriale ale angajatorilor și în controlul exercitat de Inspecția Muncii sau Ministerul Sănătății. Pretenția de a aviza structura organigramelor pentru unitățile sanitare încalcă ierarhia administrativă a statului.</w:t>
      </w:r>
    </w:p>
    <w:p w14:paraId="2AF2D029">
      <w:pPr>
        <w:keepNext w:val="0"/>
        <w:keepLines w:val="0"/>
        <w:pageBreakBefore w:val="0"/>
        <w:widowControl/>
        <w:numPr>
          <w:numId w:val="0"/>
        </w:numPr>
        <w:kinsoku/>
        <w:wordWrap/>
        <w:overflowPunct/>
        <w:topLinePunct w:val="0"/>
        <w:autoSpaceDE/>
        <w:autoSpaceDN/>
        <w:bidi w:val="0"/>
        <w:adjustRightInd/>
        <w:snapToGrid/>
        <w:spacing w:after="240" w:line="276" w:lineRule="auto"/>
        <w:jc w:val="both"/>
        <w:textAlignment w:val="auto"/>
        <w:rPr>
          <w:rFonts w:hint="default" w:ascii="Times New Roman" w:hAnsi="Times New Roman" w:cs="Times New Roman"/>
          <w:sz w:val="24"/>
          <w:szCs w:val="24"/>
          <w:rtl w:val="0"/>
        </w:rPr>
      </w:pPr>
    </w:p>
    <w:p w14:paraId="3D97339F">
      <w:pPr>
        <w:keepNext w:val="0"/>
        <w:keepLines w:val="0"/>
        <w:pageBreakBefore w:val="0"/>
        <w:widowControl/>
        <w:numPr>
          <w:numId w:val="0"/>
        </w:numPr>
        <w:kinsoku/>
        <w:wordWrap/>
        <w:overflowPunct/>
        <w:topLinePunct w:val="0"/>
        <w:autoSpaceDE/>
        <w:autoSpaceDN/>
        <w:bidi w:val="0"/>
        <w:adjustRightInd/>
        <w:snapToGrid/>
        <w:spacing w:after="240" w:line="276" w:lineRule="auto"/>
        <w:jc w:val="both"/>
        <w:textAlignment w:val="auto"/>
        <w:rPr>
          <w:rFonts w:hint="default" w:ascii="Times New Roman" w:hAnsi="Times New Roman" w:cs="Times New Roman"/>
          <w:sz w:val="24"/>
          <w:szCs w:val="24"/>
          <w:rtl w:val="0"/>
        </w:rPr>
      </w:pPr>
    </w:p>
    <w:p w14:paraId="16170D15">
      <w:pPr>
        <w:keepNext w:val="0"/>
        <w:keepLines w:val="0"/>
        <w:pageBreakBefore w:val="0"/>
        <w:widowControl/>
        <w:numPr>
          <w:numId w:val="0"/>
        </w:numPr>
        <w:kinsoku/>
        <w:wordWrap/>
        <w:overflowPunct/>
        <w:topLinePunct w:val="0"/>
        <w:autoSpaceDE/>
        <w:autoSpaceDN/>
        <w:bidi w:val="0"/>
        <w:adjustRightInd/>
        <w:snapToGrid/>
        <w:spacing w:after="240" w:line="276" w:lineRule="auto"/>
        <w:jc w:val="both"/>
        <w:textAlignment w:val="auto"/>
        <w:rPr>
          <w:rFonts w:hint="default" w:ascii="Times New Roman" w:hAnsi="Times New Roman" w:cs="Times New Roman"/>
          <w:sz w:val="24"/>
          <w:szCs w:val="24"/>
          <w:rtl w:val="0"/>
        </w:rPr>
      </w:pPr>
    </w:p>
    <w:p w14:paraId="00000023">
      <w:pPr>
        <w:pStyle w:val="5"/>
        <w:keepNext w:val="0"/>
        <w:keepLines w:val="0"/>
        <w:pageBreakBefore w:val="0"/>
        <w:widowControl/>
        <w:kinsoku/>
        <w:wordWrap/>
        <w:overflowPunct/>
        <w:topLinePunct w:val="0"/>
        <w:autoSpaceDE/>
        <w:autoSpaceDN/>
        <w:bidi w:val="0"/>
        <w:adjustRightInd/>
        <w:snapToGrid/>
        <w:spacing w:before="0" w:after="40"/>
        <w:jc w:val="both"/>
        <w:textAlignment w:val="auto"/>
        <w:rPr>
          <w:rFonts w:hint="default" w:ascii="Times New Roman" w:hAnsi="Times New Roman" w:cs="Times New Roman"/>
          <w:b/>
          <w:bCs/>
          <w:color w:val="000000"/>
          <w:sz w:val="24"/>
          <w:szCs w:val="24"/>
        </w:rPr>
      </w:pPr>
      <w:bookmarkStart w:id="9" w:name="_vsprlbnce6zk" w:colFirst="0" w:colLast="0"/>
      <w:bookmarkEnd w:id="9"/>
      <w:r>
        <w:rPr>
          <w:rFonts w:hint="default" w:ascii="Times New Roman" w:hAnsi="Times New Roman" w:cs="Times New Roman"/>
          <w:b/>
          <w:bCs/>
          <w:color w:val="000000"/>
          <w:sz w:val="24"/>
          <w:szCs w:val="24"/>
          <w:rtl w:val="0"/>
        </w:rPr>
        <w:t>8. Situația non-psihologilor și a psihopedagogiei speciale</w:t>
      </w:r>
    </w:p>
    <w:p w14:paraId="00000024">
      <w:pPr>
        <w:keepNext w:val="0"/>
        <w:keepLines w:val="0"/>
        <w:pageBreakBefore w:val="0"/>
        <w:widowControl/>
        <w:numPr>
          <w:ilvl w:val="0"/>
          <w:numId w:val="8"/>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Articole vizate din Propunere:</w:t>
      </w:r>
      <w:r>
        <w:rPr>
          <w:rFonts w:hint="default" w:ascii="Times New Roman" w:hAnsi="Times New Roman" w:cs="Times New Roman"/>
          <w:sz w:val="24"/>
          <w:szCs w:val="24"/>
          <w:rtl w:val="0"/>
        </w:rPr>
        <w:t xml:space="preserve"> Art. 5, 55, 150, 152.</w:t>
      </w:r>
    </w:p>
    <w:p w14:paraId="00000025">
      <w:pPr>
        <w:keepNext w:val="0"/>
        <w:keepLines w:val="0"/>
        <w:pageBreakBefore w:val="0"/>
        <w:widowControl/>
        <w:numPr>
          <w:ilvl w:val="0"/>
          <w:numId w:val="8"/>
        </w:numPr>
        <w:kinsoku/>
        <w:wordWrap/>
        <w:overflowPunct/>
        <w:topLinePunct w:val="0"/>
        <w:autoSpaceDE/>
        <w:autoSpaceDN/>
        <w:bidi w:val="0"/>
        <w:adjustRightInd/>
        <w:snapToGrid/>
        <w:spacing w:after="0" w:afterAutospacing="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Norme încălcate:</w:t>
      </w:r>
      <w:r>
        <w:rPr>
          <w:rFonts w:hint="default" w:ascii="Times New Roman" w:hAnsi="Times New Roman" w:cs="Times New Roman"/>
          <w:sz w:val="24"/>
          <w:szCs w:val="24"/>
          <w:rtl w:val="0"/>
        </w:rPr>
        <w:t xml:space="preserve"> Principiul securității raporturilor juridice; Directiva 2005/36/CE.</w:t>
      </w:r>
    </w:p>
    <w:p w14:paraId="00000026">
      <w:pPr>
        <w:keepNext w:val="0"/>
        <w:keepLines w:val="0"/>
        <w:pageBreakBefore w:val="0"/>
        <w:widowControl/>
        <w:numPr>
          <w:ilvl w:val="0"/>
          <w:numId w:val="8"/>
        </w:numPr>
        <w:kinsoku/>
        <w:wordWrap/>
        <w:overflowPunct/>
        <w:topLinePunct w:val="0"/>
        <w:autoSpaceDE/>
        <w:autoSpaceDN/>
        <w:bidi w:val="0"/>
        <w:adjustRightInd/>
        <w:snapToGrid/>
        <w:spacing w:after="24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Analiză:</w:t>
      </w:r>
      <w:r>
        <w:rPr>
          <w:rFonts w:hint="default" w:ascii="Times New Roman" w:hAnsi="Times New Roman" w:cs="Times New Roman"/>
          <w:sz w:val="24"/>
          <w:szCs w:val="24"/>
          <w:rtl w:val="0"/>
        </w:rPr>
        <w:t xml:space="preserve"> Proiectul impune o barieră retroactivă pentru absolvenții de psihopedagogie specială, filosofie sau teologie care practică psihoterapia. Deși există clauze tranzitorii (Art. 150), acestea sunt limitative și temporare, forțând reorganizarea formelor de exercitare (Art. 152) sub sancțiunea dizolvării. Această „psihologizare” forțată a unor specialități interdisciplinare neagă realitatea academică europeană și încalcă dreptul la exercitarea profesiei conform calificărilor obținute sub imperiul legii vechi.</w:t>
      </w:r>
    </w:p>
    <w:p w14:paraId="00000027">
      <w:pPr>
        <w:keepNext w:val="0"/>
        <w:keepLines w:val="0"/>
        <w:pageBreakBefore w:val="0"/>
        <w:widowControl/>
        <w:kinsoku/>
        <w:wordWrap/>
        <w:overflowPunct/>
        <w:topLinePunct w:val="0"/>
        <w:autoSpaceDE/>
        <w:autoSpaceDN/>
        <w:bidi w:val="0"/>
        <w:adjustRightInd/>
        <w:snapToGrid/>
        <w:spacing w:after="240"/>
        <w:ind w:left="720" w:firstLine="0"/>
        <w:jc w:val="both"/>
        <w:textAlignment w:val="auto"/>
        <w:rPr>
          <w:rFonts w:hint="default" w:ascii="Times New Roman" w:hAnsi="Times New Roman" w:cs="Times New Roman"/>
          <w:sz w:val="24"/>
          <w:szCs w:val="24"/>
        </w:rPr>
      </w:pPr>
    </w:p>
    <w:p w14:paraId="00000028">
      <w:pPr>
        <w:pStyle w:val="5"/>
        <w:keepNext w:val="0"/>
        <w:keepLines w:val="0"/>
        <w:pageBreakBefore w:val="0"/>
        <w:widowControl/>
        <w:kinsoku/>
        <w:wordWrap/>
        <w:overflowPunct/>
        <w:topLinePunct w:val="0"/>
        <w:autoSpaceDE/>
        <w:autoSpaceDN/>
        <w:bidi w:val="0"/>
        <w:adjustRightInd/>
        <w:snapToGrid/>
        <w:spacing w:before="0" w:after="40"/>
        <w:jc w:val="both"/>
        <w:textAlignment w:val="auto"/>
        <w:rPr>
          <w:rFonts w:hint="default" w:ascii="Times New Roman" w:hAnsi="Times New Roman" w:cs="Times New Roman"/>
          <w:b/>
          <w:bCs/>
          <w:color w:val="000000"/>
          <w:sz w:val="24"/>
          <w:szCs w:val="24"/>
        </w:rPr>
      </w:pPr>
      <w:bookmarkStart w:id="10" w:name="_fjbjc8seu331" w:colFirst="0" w:colLast="0"/>
      <w:bookmarkEnd w:id="10"/>
      <w:r>
        <w:rPr>
          <w:rFonts w:hint="default" w:ascii="Times New Roman" w:hAnsi="Times New Roman" w:cs="Times New Roman"/>
          <w:b/>
          <w:bCs/>
          <w:color w:val="000000"/>
          <w:sz w:val="24"/>
          <w:szCs w:val="24"/>
          <w:rtl w:val="0"/>
        </w:rPr>
        <w:t>9. Mecanismul de auto-conservare (Art. 154)</w:t>
      </w:r>
    </w:p>
    <w:p w14:paraId="00000029">
      <w:pPr>
        <w:keepNext w:val="0"/>
        <w:keepLines w:val="0"/>
        <w:pageBreakBefore w:val="0"/>
        <w:widowControl/>
        <w:numPr>
          <w:ilvl w:val="0"/>
          <w:numId w:val="9"/>
        </w:numPr>
        <w:kinsoku/>
        <w:wordWrap/>
        <w:overflowPunct/>
        <w:topLinePunct w:val="0"/>
        <w:autoSpaceDE/>
        <w:autoSpaceDN/>
        <w:bidi w:val="0"/>
        <w:adjustRightInd/>
        <w:snapToGrid/>
        <w:spacing w:after="240"/>
        <w:ind w:left="720" w:hanging="360"/>
        <w:jc w:val="both"/>
        <w:textAlignment w:val="auto"/>
        <w:rPr>
          <w:rFonts w:hint="default" w:ascii="Times New Roman" w:hAnsi="Times New Roman" w:cs="Times New Roman"/>
          <w:sz w:val="24"/>
          <w:szCs w:val="24"/>
        </w:rPr>
      </w:pPr>
      <w:r>
        <w:rPr>
          <w:rFonts w:hint="default" w:ascii="Times New Roman" w:hAnsi="Times New Roman" w:cs="Times New Roman"/>
          <w:b/>
          <w:bCs/>
          <w:sz w:val="24"/>
          <w:szCs w:val="24"/>
          <w:rtl w:val="0"/>
        </w:rPr>
        <w:t>Analiză:</w:t>
      </w:r>
      <w:r>
        <w:rPr>
          <w:rFonts w:hint="default" w:ascii="Times New Roman" w:hAnsi="Times New Roman" w:cs="Times New Roman"/>
          <w:sz w:val="24"/>
          <w:szCs w:val="24"/>
          <w:rtl w:val="0"/>
        </w:rPr>
        <w:t xml:space="preserve"> Aceasta este o clauză de imunitate administrativă. Permiterea actualului Consiliu de a redacta Regulamentul de Alegeri și Statutul noului sistem (Art. 154 alin. 5) încalcă principiul imparțialității și al alternanței democratice, oferind pârghii legale pentru manipularea procesului electoral viitor.</w:t>
      </w:r>
    </w:p>
    <w:p w14:paraId="0000002A">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cs="Times New Roman"/>
          <w:sz w:val="24"/>
          <w:szCs w:val="24"/>
        </w:rPr>
      </w:pPr>
    </w:p>
    <w:p w14:paraId="0000002B">
      <w:pPr>
        <w:pStyle w:val="4"/>
        <w:keepNext w:val="0"/>
        <w:keepLines w:val="0"/>
        <w:pageBreakBefore w:val="0"/>
        <w:widowControl/>
        <w:kinsoku/>
        <w:wordWrap/>
        <w:overflowPunct/>
        <w:topLinePunct w:val="0"/>
        <w:autoSpaceDE/>
        <w:autoSpaceDN/>
        <w:bidi w:val="0"/>
        <w:adjustRightInd/>
        <w:snapToGrid/>
        <w:spacing w:before="0"/>
        <w:jc w:val="both"/>
        <w:textAlignment w:val="auto"/>
        <w:rPr>
          <w:rFonts w:hint="default" w:ascii="Times New Roman" w:hAnsi="Times New Roman" w:cs="Times New Roman"/>
          <w:b/>
          <w:bCs/>
          <w:color w:val="000000"/>
          <w:sz w:val="24"/>
          <w:szCs w:val="24"/>
        </w:rPr>
      </w:pPr>
      <w:bookmarkStart w:id="11" w:name="_o6ge6diico1a" w:colFirst="0" w:colLast="0"/>
      <w:bookmarkEnd w:id="11"/>
      <w:r>
        <w:rPr>
          <w:rFonts w:hint="default" w:ascii="Times New Roman" w:hAnsi="Times New Roman" w:cs="Times New Roman"/>
          <w:b/>
          <w:bCs/>
          <w:color w:val="000000"/>
          <w:sz w:val="24"/>
          <w:szCs w:val="24"/>
          <w:rtl w:val="0"/>
        </w:rPr>
        <w:t>CONCLUZIE</w:t>
      </w:r>
    </w:p>
    <w:p w14:paraId="0000002C">
      <w:pPr>
        <w:keepNext w:val="0"/>
        <w:keepLines w:val="0"/>
        <w:pageBreakBefore w:val="0"/>
        <w:widowControl/>
        <w:kinsoku/>
        <w:wordWrap/>
        <w:overflowPunct/>
        <w:topLinePunct w:val="0"/>
        <w:autoSpaceDE/>
        <w:autoSpaceDN/>
        <w:bidi w:val="0"/>
        <w:adjustRightInd/>
        <w:snapToGrid/>
        <w:spacing w:after="24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tl w:val="0"/>
        </w:rPr>
        <w:t xml:space="preserve">Proiectul legislativ suferă de un </w:t>
      </w:r>
      <w:r>
        <w:rPr>
          <w:rFonts w:hint="default" w:ascii="Times New Roman" w:hAnsi="Times New Roman" w:cs="Times New Roman"/>
          <w:b/>
          <w:bCs/>
          <w:sz w:val="24"/>
          <w:szCs w:val="24"/>
          <w:rtl w:val="0"/>
        </w:rPr>
        <w:t>exces de reglementare administrativă</w:t>
      </w:r>
      <w:r>
        <w:rPr>
          <w:rFonts w:hint="default" w:ascii="Times New Roman" w:hAnsi="Times New Roman" w:cs="Times New Roman"/>
          <w:sz w:val="24"/>
          <w:szCs w:val="24"/>
          <w:rtl w:val="0"/>
        </w:rPr>
        <w:t xml:space="preserve"> în detrimentul </w:t>
      </w:r>
      <w:r>
        <w:rPr>
          <w:rFonts w:hint="default" w:ascii="Times New Roman" w:hAnsi="Times New Roman" w:cs="Times New Roman"/>
          <w:b/>
          <w:bCs/>
          <w:sz w:val="24"/>
          <w:szCs w:val="24"/>
          <w:rtl w:val="0"/>
        </w:rPr>
        <w:t>legalității primare</w:t>
      </w:r>
      <w:r>
        <w:rPr>
          <w:rFonts w:hint="default" w:ascii="Times New Roman" w:hAnsi="Times New Roman" w:cs="Times New Roman"/>
          <w:sz w:val="24"/>
          <w:szCs w:val="24"/>
          <w:rtl w:val="0"/>
        </w:rPr>
        <w:t xml:space="preserve">. Centralizarea puterii, lipsa controlului financiar și imixtiunea în sistemul educațional și sanitar fac acest proiect vulnerabil la un control de constituționalitate. Se recomandă eliminarea delegărilor către Statut pentru elementele ce vizează drepturi fundamentale și instituirea unor mecanisme de control independente (Cenzori și </w:t>
      </w:r>
      <w:r>
        <w:rPr>
          <w:rFonts w:hint="default" w:ascii="Times New Roman" w:hAnsi="Times New Roman" w:cs="Times New Roman"/>
          <w:sz w:val="24"/>
          <w:szCs w:val="24"/>
          <w:rtl w:val="0"/>
          <w:lang w:val="ro-RO"/>
        </w:rPr>
        <w:t>j</w:t>
      </w:r>
      <w:bookmarkStart w:id="12" w:name="_GoBack"/>
      <w:bookmarkEnd w:id="12"/>
      <w:r>
        <w:rPr>
          <w:rFonts w:hint="default" w:ascii="Times New Roman" w:hAnsi="Times New Roman" w:cs="Times New Roman"/>
          <w:sz w:val="24"/>
          <w:szCs w:val="24"/>
          <w:rtl w:val="0"/>
        </w:rPr>
        <w:t>urisdicție disciplinară externă).</w:t>
      </w:r>
    </w:p>
    <w:sectPr>
      <w:pgSz w:w="11909" w:h="16834"/>
      <w:pgMar w:top="1275" w:right="1440" w:bottom="974" w:left="144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embedRegular r:id="rId1" w:fontKey="{1AA08B2E-7B65-4EF8-875A-E17D734332D4}"/>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D1E39453-7DCC-40B8-8D78-F860410095ED}"/>
  </w:font>
  <w:font w:name="Wingdings">
    <w:panose1 w:val="05000000000000000000"/>
    <w:charset w:val="02"/>
    <w:family w:val="auto"/>
    <w:pitch w:val="default"/>
    <w:sig w:usb0="00000000" w:usb1="00000000" w:usb2="00000000" w:usb3="00000000" w:csb0="80000000" w:csb1="00000000"/>
    <w:embedRegular r:id="rId3" w:fontKey="{BFEB7AB6-3624-40FE-9A92-98CF069DC3BB}"/>
  </w:font>
  <w:font w:name="Calibri">
    <w:panose1 w:val="020F0502020204030204"/>
    <w:charset w:val="00"/>
    <w:family w:val="swiss"/>
    <w:pitch w:val="default"/>
    <w:sig w:usb0="E4002EFF" w:usb1="C200247B" w:usb2="00000009" w:usb3="00000000" w:csb0="200001FF" w:csb1="00000000"/>
    <w:embedRegular r:id="rId4" w:fontKey="{CD63354F-960A-4A61-8A0B-C2D32978C52B}"/>
  </w:font>
  <w:font w:name="等线">
    <w:altName w:val="Arial Unicode MS"/>
    <w:panose1 w:val="00000000000000000000"/>
    <w:charset w:val="86"/>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 w:name="Arial">
    <w:panose1 w:val="020B0604020202020204"/>
    <w:charset w:val="00"/>
    <w:family w:val="auto"/>
    <w:pitch w:val="default"/>
    <w:sig w:usb0="E0002EFF" w:usb1="C000785B" w:usb2="00000009" w:usb3="00000000" w:csb0="400001FF" w:csb1="FFFF0000"/>
    <w:embedRegular r:id="rId5" w:fontKey="{8A82A5F5-4D7A-43D6-A57D-C3CDCCE78B2E}"/>
  </w:font>
  <w:font w:name="Algerian">
    <w:panose1 w:val="04020705040A02060702"/>
    <w:charset w:val="00"/>
    <w:family w:val="auto"/>
    <w:pitch w:val="default"/>
    <w:sig w:usb0="00000003" w:usb1="00000000" w:usb2="00000000" w:usb3="00000000" w:csb0="20000001" w:csb1="00000000"/>
    <w:embedRegular r:id="rId6" w:fontKey="{99642F2F-3C19-4D9F-81A5-961CABF2B8B5}"/>
  </w:font>
  <w:font w:name="MS PGothic">
    <w:panose1 w:val="020B0600070205080204"/>
    <w:charset w:val="80"/>
    <w:family w:val="auto"/>
    <w:pitch w:val="default"/>
    <w:sig w:usb0="E00002FF" w:usb1="6AC7FDFB" w:usb2="08000012" w:usb3="00000000" w:csb0="4002009F" w:csb1="DFD7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bullet"/>
      <w:lvlText w:val="●"/>
      <w:lvlJc w:val="left"/>
      <w:pPr>
        <w:ind w:left="720" w:hanging="360"/>
      </w:pPr>
      <w:rPr>
        <w:rFonts w:ascii="Arial" w:hAnsi="Arial" w:eastAsia="Arial" w:cs="Arial"/>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1">
    <w:nsid w:val="BF205925"/>
    <w:multiLevelType w:val="multilevel"/>
    <w:tmpl w:val="BF205925"/>
    <w:lvl w:ilvl="0" w:tentative="0">
      <w:start w:val="1"/>
      <w:numFmt w:val="bullet"/>
      <w:lvlText w:val="●"/>
      <w:lvlJc w:val="left"/>
      <w:pPr>
        <w:ind w:left="720" w:hanging="360"/>
      </w:pPr>
      <w:rPr>
        <w:rFonts w:ascii="Arial" w:hAnsi="Arial" w:eastAsia="Arial" w:cs="Arial"/>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2">
    <w:nsid w:val="CF092B84"/>
    <w:multiLevelType w:val="multilevel"/>
    <w:tmpl w:val="CF092B84"/>
    <w:lvl w:ilvl="0" w:tentative="0">
      <w:start w:val="1"/>
      <w:numFmt w:val="bullet"/>
      <w:lvlText w:val="●"/>
      <w:lvlJc w:val="left"/>
      <w:pPr>
        <w:ind w:left="720" w:hanging="360"/>
      </w:pPr>
      <w:rPr>
        <w:rFonts w:ascii="Arial" w:hAnsi="Arial" w:eastAsia="Arial" w:cs="Arial"/>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3">
    <w:nsid w:val="0053208E"/>
    <w:multiLevelType w:val="multilevel"/>
    <w:tmpl w:val="0053208E"/>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4">
    <w:nsid w:val="0248C179"/>
    <w:multiLevelType w:val="multilevel"/>
    <w:tmpl w:val="0248C179"/>
    <w:lvl w:ilvl="0" w:tentative="0">
      <w:start w:val="1"/>
      <w:numFmt w:val="bullet"/>
      <w:lvlText w:val="●"/>
      <w:lvlJc w:val="left"/>
      <w:pPr>
        <w:ind w:left="720" w:hanging="360"/>
      </w:pPr>
      <w:rPr>
        <w:rFonts w:ascii="Arial" w:hAnsi="Arial" w:eastAsia="Arial" w:cs="Arial"/>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5">
    <w:nsid w:val="03D62ECE"/>
    <w:multiLevelType w:val="multilevel"/>
    <w:tmpl w:val="03D62ECE"/>
    <w:lvl w:ilvl="0" w:tentative="0">
      <w:start w:val="1"/>
      <w:numFmt w:val="bullet"/>
      <w:lvlText w:val="●"/>
      <w:lvlJc w:val="left"/>
      <w:pPr>
        <w:ind w:left="720" w:hanging="360"/>
      </w:pPr>
      <w:rPr>
        <w:rFonts w:ascii="Arial" w:hAnsi="Arial" w:eastAsia="Arial" w:cs="Arial"/>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6">
    <w:nsid w:val="25B654F3"/>
    <w:multiLevelType w:val="multilevel"/>
    <w:tmpl w:val="25B654F3"/>
    <w:lvl w:ilvl="0" w:tentative="0">
      <w:start w:val="1"/>
      <w:numFmt w:val="bullet"/>
      <w:lvlText w:val="●"/>
      <w:lvlJc w:val="left"/>
      <w:pPr>
        <w:ind w:left="720" w:hanging="360"/>
      </w:pPr>
      <w:rPr>
        <w:rFonts w:ascii="Arial" w:hAnsi="Arial" w:eastAsia="Arial" w:cs="Arial"/>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7">
    <w:nsid w:val="59ADCABA"/>
    <w:multiLevelType w:val="multilevel"/>
    <w:tmpl w:val="59ADCABA"/>
    <w:lvl w:ilvl="0" w:tentative="0">
      <w:start w:val="1"/>
      <w:numFmt w:val="bullet"/>
      <w:lvlText w:val="●"/>
      <w:lvlJc w:val="left"/>
      <w:pPr>
        <w:ind w:left="720" w:hanging="360"/>
      </w:pPr>
      <w:rPr>
        <w:rFonts w:ascii="Arial" w:hAnsi="Arial" w:eastAsia="Arial" w:cs="Arial"/>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8">
    <w:nsid w:val="72183CF9"/>
    <w:multiLevelType w:val="multilevel"/>
    <w:tmpl w:val="72183CF9"/>
    <w:lvl w:ilvl="0" w:tentative="0">
      <w:start w:val="1"/>
      <w:numFmt w:val="bullet"/>
      <w:lvlText w:val="●"/>
      <w:lvlJc w:val="left"/>
      <w:pPr>
        <w:ind w:left="720" w:hanging="360"/>
      </w:pPr>
      <w:rPr>
        <w:rFonts w:ascii="Arial" w:hAnsi="Arial" w:eastAsia="Arial" w:cs="Arial"/>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num w:numId="1">
    <w:abstractNumId w:val="3"/>
  </w:num>
  <w:num w:numId="2">
    <w:abstractNumId w:val="2"/>
  </w:num>
  <w:num w:numId="3">
    <w:abstractNumId w:val="7"/>
  </w:num>
  <w:num w:numId="4">
    <w:abstractNumId w:val="1"/>
  </w:num>
  <w:num w:numId="5">
    <w:abstractNumId w:val="0"/>
  </w:num>
  <w:num w:numId="6">
    <w:abstractNumId w:val="5"/>
  </w:num>
  <w:num w:numId="7">
    <w:abstractNumId w:val="6"/>
  </w:num>
  <w:num w:numId="8">
    <w:abstractNumId w:val="8"/>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56B1494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line="276" w:lineRule="auto"/>
    </w:pPr>
    <w:rPr>
      <w:rFonts w:ascii="Arial" w:hAnsi="Arial" w:eastAsia="Arial" w:cs="Arial"/>
      <w:sz w:val="22"/>
      <w:szCs w:val="22"/>
      <w:lang w:val="ro"/>
    </w:rPr>
  </w:style>
  <w:style w:type="paragraph" w:styleId="2">
    <w:name w:val="heading 1"/>
    <w:basedOn w:val="1"/>
    <w:next w:val="1"/>
    <w:qFormat/>
    <w:uiPriority w:val="0"/>
    <w:pPr>
      <w:keepNext/>
      <w:keepLines/>
      <w:pageBreakBefore w:val="0"/>
      <w:spacing w:before="400" w:after="120"/>
    </w:pPr>
    <w:rPr>
      <w:sz w:val="40"/>
      <w:szCs w:val="40"/>
    </w:rPr>
  </w:style>
  <w:style w:type="paragraph" w:styleId="3">
    <w:name w:val="heading 2"/>
    <w:basedOn w:val="1"/>
    <w:next w:val="1"/>
    <w:qFormat/>
    <w:uiPriority w:val="0"/>
    <w:pPr>
      <w:keepNext/>
      <w:keepLines/>
      <w:pageBreakBefore w:val="0"/>
      <w:spacing w:before="360" w:after="120"/>
    </w:pPr>
    <w:rPr>
      <w:sz w:val="32"/>
      <w:szCs w:val="32"/>
    </w:rPr>
  </w:style>
  <w:style w:type="paragraph" w:styleId="4">
    <w:name w:val="heading 3"/>
    <w:basedOn w:val="1"/>
    <w:next w:val="1"/>
    <w:qFormat/>
    <w:uiPriority w:val="0"/>
    <w:pPr>
      <w:keepNext/>
      <w:keepLines/>
      <w:pageBreakBefore w:val="0"/>
      <w:spacing w:before="320" w:after="80"/>
    </w:pPr>
    <w:rPr>
      <w:color w:val="434343"/>
      <w:sz w:val="28"/>
      <w:szCs w:val="28"/>
    </w:rPr>
  </w:style>
  <w:style w:type="paragraph" w:styleId="5">
    <w:name w:val="heading 4"/>
    <w:basedOn w:val="1"/>
    <w:next w:val="1"/>
    <w:qFormat/>
    <w:uiPriority w:val="0"/>
    <w:pPr>
      <w:keepNext/>
      <w:keepLines/>
      <w:pageBreakBefore w:val="0"/>
      <w:spacing w:before="280" w:after="80"/>
    </w:pPr>
    <w:rPr>
      <w:color w:val="666666"/>
      <w:sz w:val="24"/>
      <w:szCs w:val="24"/>
    </w:rPr>
  </w:style>
  <w:style w:type="paragraph" w:styleId="6">
    <w:name w:val="heading 5"/>
    <w:basedOn w:val="1"/>
    <w:next w:val="1"/>
    <w:qFormat/>
    <w:uiPriority w:val="0"/>
    <w:pPr>
      <w:keepNext/>
      <w:keepLines/>
      <w:pageBreakBefore w:val="0"/>
      <w:spacing w:before="240" w:after="80"/>
    </w:pPr>
    <w:rPr>
      <w:color w:val="666666"/>
      <w:sz w:val="22"/>
      <w:szCs w:val="22"/>
    </w:rPr>
  </w:style>
  <w:style w:type="paragraph" w:styleId="7">
    <w:name w:val="heading 6"/>
    <w:basedOn w:val="1"/>
    <w:next w:val="1"/>
    <w:qFormat/>
    <w:uiPriority w:val="0"/>
    <w:pPr>
      <w:keepNext/>
      <w:keepLines/>
      <w:pageBreakBefore w:val="0"/>
      <w:spacing w:before="240" w:after="80"/>
    </w:pPr>
    <w:rPr>
      <w:i/>
      <w:iCs/>
      <w:color w:val="666666"/>
      <w:sz w:val="22"/>
      <w:szCs w:val="22"/>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Subtitle"/>
    <w:basedOn w:val="1"/>
    <w:next w:val="1"/>
    <w:qFormat/>
    <w:uiPriority w:val="0"/>
    <w:pPr>
      <w:keepNext/>
      <w:keepLines/>
      <w:pageBreakBefore w:val="0"/>
      <w:spacing w:before="0" w:after="320"/>
    </w:pPr>
    <w:rPr>
      <w:rFonts w:ascii="Arial" w:hAnsi="Arial" w:eastAsia="Arial" w:cs="Arial"/>
      <w:color w:val="666666"/>
      <w:sz w:val="30"/>
      <w:szCs w:val="30"/>
    </w:rPr>
  </w:style>
  <w:style w:type="paragraph" w:styleId="11">
    <w:name w:val="Title"/>
    <w:basedOn w:val="1"/>
    <w:next w:val="1"/>
    <w:uiPriority w:val="0"/>
    <w:pPr>
      <w:keepNext/>
      <w:keepLines/>
      <w:pageBreakBefore w:val="0"/>
      <w:spacing w:before="0" w:after="60"/>
    </w:pPr>
    <w:rPr>
      <w:sz w:val="52"/>
      <w:szCs w:val="52"/>
    </w:rPr>
  </w:style>
  <w:style w:type="table" w:customStyle="1" w:styleId="12">
    <w:name w:val="TableNormal"/>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3</Pages>
  <TotalTime>3</TotalTime>
  <ScaleCrop>false</ScaleCrop>
  <LinksUpToDate>false</LinksUpToDate>
  <Application>WPS Office_12.9.0.21549_F1E327BC-269C-435d-A152-05C5408002CA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2026-01-06T05:35:15Z</dcterms:created>
  <dc:creator>laura</dc:creator>
  <cp:lastModifiedBy>Laura Roncu</cp:lastModifiedBy>
  <dcterms:modified xsi:type="dcterms:W3CDTF">2026-01-06T05:38:52Z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1033-12.9.0.21549</vt:lpwstr>
  </property>
  <property fmtid="{D5CDD505-2E9C-101B-9397-08002B2CF9AE}" pid="3" name="ICV">
    <vt:lpwstr>7B75A0D8D57A47FFBC9ED9CB43D557CE_12</vt:lpwstr>
  </property>
</Properties>
</file>